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db19be053413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 Goran Kovačić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2.482.005,95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2.671.128,81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2.433.742,72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2.805.779,99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134.651,18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30.136,57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44.655,37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30.136,57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44.655,37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179.306,55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Školska ustanova ima sudski spor u tijeku sa jednom fizičkom osobom, djelatnikom školske ustanove. 6 – PRIHODI POSLOVANJA Ostvareni prihodi su povećani za 7,6% u odnosu na isto razdoblje prošle godine, razlog tome su povećana davanja od strane Ministarstva znanosti, obrazovanja i mladih Republike Hrvatske za plaće i materijalna prava za djelatnike. Također, povećanje ostalih nespomenutih prihoda koje u istom razdoblju prošle godine nismo imali. 3 – RASHODI POSLOVANJA su povećani za 15,3% u odnosu na isto razdoblje prošle godine. Razlog tome je povećanje davanje od strane Ministarstva znanosti, obrazovanja i mladih Republike Hrvatske za plaće i materijalna prava za djelatnike. Rashodi su veći zbog knjiženja troškova plaće po modificiranom načelu nastanka događaja. 3111 – Plaće za redovan rad Iznos se povećao u ovom razdoblju za 17,4% u odnosu na isto razdoblje prošle godine. Razlog tome su povećana davanja za plaće od strane Ministarstva znanosti, obrazovanja i mladih Republike Hrvatske. 3132 – Doprinosi za obvezno zdravstveno osiguranje Iznos se povećao u ovom razdoblju za 17,40% u odnosu na isto razdoblje prošle godine. Razlog tome su povećana davanja za plaće od strane Ministarstva znanosti, obrazovanja i mladih Republike Hrvatske.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2.433.742,72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2.805.779,99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Rashodi su povećani za 15,30% u odnosu na isto razdoblje prošle godine. Razlog tome je povećanje davanje od strane Ministarstva znanosti, obrazovanja i mladih Republike Hrvatske za plaće i materijalna prava za djelatnike. Rashodi su veći zbog knjiženja troškova plaće po modificiranom načelu nastanka događaja.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37.201,70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nefinancijske imovine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Donacija od OBŽ stol za stolni tenis.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razdoblja.</w:t>
      </w:r>
    </w:p>
    <w:p>
      <w:r>
        <w:t xml:space="preserve">Stanje nedospjelih obveza na kraju izvještajnog razdoblja 207029,83. Većina obveza se odnosi na plaću za prosinac koja je isplaćena u siječnju i računa koji se odnose na prosinac, a pristigli su u siječnju.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Popunjen je izvještaj po izvoru financiranja - 561 radi se o sredstvima utrošenim u sklopu projekta  - Učimo zajedno 8.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843893e37d438a" /></Relationships>
</file>